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2D" w:rsidRPr="0020722D" w:rsidRDefault="0020722D" w:rsidP="0020722D">
      <w:pPr>
        <w:shd w:val="clear" w:color="auto" w:fill="FFFFFF"/>
        <w:spacing w:before="240" w:after="120" w:line="240" w:lineRule="atLeast"/>
        <w:outlineLvl w:val="0"/>
        <w:rPr>
          <w:rFonts w:ascii="sans-sherif" w:hAnsi="sans-sherif" w:cs="Times New Roman"/>
          <w:b/>
          <w:bCs/>
          <w:color w:val="000000"/>
          <w:kern w:val="36"/>
          <w:sz w:val="42"/>
          <w:szCs w:val="4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000000"/>
          <w:kern w:val="36"/>
          <w:sz w:val="42"/>
          <w:szCs w:val="42"/>
          <w:lang w:eastAsia="nl-NL" w:bidi="ar-SA"/>
        </w:rPr>
        <w:t>Suïcidepreventie (online en klassikaal) </w:t>
      </w:r>
    </w:p>
    <w:p w:rsid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</w:pP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Doelgroep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Hulpverleners werkzaam binnen de ggz. </w:t>
      </w: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Duur van training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De training bestaat uit 2 onderdelen: een e-module van 3 uur en één trainingsdag. Aanbevolen wordt om de e-module ter voorbereiding op de training te volgen.</w:t>
      </w: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Doel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De deelnemer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is op de hoogte van nieuwe perspectieven en inzichten over het omgaan met patiënten/cliënten met suïcidaal gedrag volgens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      multidisciplinaire richtlijn voor diagnostiek en behandeling van suïcidaal gedrag;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heeft kennis, houding en vaardigheden vergroot m.b.t. het signaleren van suïcidale gedachten bij patiënten/cliënten;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weet hoe de suïcidale gedachten bespreekbaar te maken;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is bekend met de CASE-methodiek en kan deze toepassen;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 xml:space="preserve">•    kan de </w:t>
      </w:r>
      <w:proofErr w:type="spellStart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risicoverhogende</w:t>
      </w:r>
      <w:proofErr w:type="spellEnd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 xml:space="preserve"> en beschermende factoren in kaart brengen;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kan de ernst van de zelfmoordgedachten inschatten;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is in staat naasten te betrekken bij het bespreekbaar maken van de zelfmoordgedachten;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•    weet hoe en naar wie de patiënt/cliënt doorverwezen kan worden. </w:t>
      </w: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Docenten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Gecertificeerde trainers opgeleid door 113 Zelfmoordpreventie.</w:t>
      </w: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Toetsing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De e-module bevat een eindtoets met 15 vragen, er wordt een voldoende behaald bij minimaal 11 goede antwoorden.</w:t>
      </w:r>
    </w:p>
    <w:p w:rsidR="0020722D" w:rsidRPr="0020722D" w:rsidRDefault="0020722D" w:rsidP="0020722D">
      <w:pPr>
        <w:shd w:val="clear" w:color="auto" w:fill="FFFFFF"/>
        <w:spacing w:after="288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Certificaat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Bij het met een voldoende afronden van de eindtoets van de e-module en een 100% aanwezigheid bij de trainingsdag.</w:t>
      </w:r>
    </w:p>
    <w:p w:rsidR="0020722D" w:rsidRPr="0020722D" w:rsidRDefault="0020722D" w:rsidP="0020722D">
      <w:pPr>
        <w:shd w:val="clear" w:color="auto" w:fill="FFFFFF"/>
        <w:spacing w:after="240" w:line="240" w:lineRule="auto"/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</w:pPr>
      <w:r w:rsidRPr="0020722D">
        <w:rPr>
          <w:rFonts w:ascii="sans-sherif" w:hAnsi="sans-sherif" w:cs="Times New Roman"/>
          <w:b/>
          <w:bCs/>
          <w:color w:val="3B3B3B"/>
          <w:sz w:val="22"/>
          <w:szCs w:val="22"/>
          <w:lang w:eastAsia="nl-NL" w:bidi="ar-SA"/>
        </w:rPr>
        <w:t>Accreditatie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 xml:space="preserve">V&amp;VN: </w:t>
      </w:r>
      <w:r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in aanvraag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 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 xml:space="preserve">Verpleegkundig Specialisten Register: </w:t>
      </w:r>
      <w:r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in aanvraag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</w:r>
      <w:proofErr w:type="spellStart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FGzPt</w:t>
      </w:r>
      <w:proofErr w:type="spellEnd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 xml:space="preserve">: </w:t>
      </w:r>
      <w:r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in aanvraag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  <w:t>NIP:</w:t>
      </w:r>
      <w:r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 xml:space="preserve"> in aanvraag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 </w:t>
      </w:r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br/>
      </w:r>
      <w:proofErr w:type="spellStart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NVvP</w:t>
      </w:r>
      <w:proofErr w:type="spellEnd"/>
      <w:r w:rsidRPr="0020722D"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 xml:space="preserve"> (Nederlandse Vereniging voor Psychiatrie): </w:t>
      </w:r>
      <w:r>
        <w:rPr>
          <w:rFonts w:ascii="sans-sherif" w:hAnsi="sans-sherif" w:cs="Times New Roman"/>
          <w:color w:val="3B3B3B"/>
          <w:sz w:val="22"/>
          <w:szCs w:val="22"/>
          <w:lang w:eastAsia="nl-NL" w:bidi="ar-SA"/>
        </w:rPr>
        <w:t>in aanvraag</w:t>
      </w:r>
      <w:bookmarkStart w:id="0" w:name="_GoBack"/>
      <w:bookmarkEnd w:id="0"/>
    </w:p>
    <w:p w:rsidR="00DA2633" w:rsidRDefault="0020722D"/>
    <w:sectPr w:rsidR="00D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ns-sh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BC2"/>
    <w:multiLevelType w:val="multilevel"/>
    <w:tmpl w:val="28C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D"/>
    <w:rsid w:val="0020722D"/>
    <w:rsid w:val="00E263DD"/>
    <w:rsid w:val="00E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E351"/>
  <w15:chartTrackingRefBased/>
  <w15:docId w15:val="{9B5504B8-14D5-40CA-B23B-27FCF85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722D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20722D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20722D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20722D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20722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20722D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20722D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20722D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20722D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20722D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20722D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20722D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20722D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20722D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20722D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20722D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20722D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20722D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20722D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722D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20722D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722D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20722D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20722D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722D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Roskam</dc:creator>
  <cp:keywords/>
  <dc:description/>
  <cp:lastModifiedBy>Stefanie Roskam</cp:lastModifiedBy>
  <cp:revision>1</cp:revision>
  <dcterms:created xsi:type="dcterms:W3CDTF">2019-04-01T12:51:00Z</dcterms:created>
  <dcterms:modified xsi:type="dcterms:W3CDTF">2019-04-01T12:53:00Z</dcterms:modified>
</cp:coreProperties>
</file>